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«</w:t>
      </w:r>
      <w:r>
        <w:rPr>
          <w:rFonts w:hint="default" w:ascii="Times New Roman" w:hAnsi="Times New Roman" w:cs="Times New Roman"/>
          <w:b/>
          <w:sz w:val="24"/>
          <w:szCs w:val="24"/>
          <w:lang w:val="kk-KZ" w:eastAsia="zh-CN"/>
        </w:rPr>
        <w:t>Жазу практикасы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1-2 семинар сабағы </w:t>
      </w:r>
    </w:p>
    <w:p>
      <w:pPr>
        <w:rPr>
          <w:rFonts w:hint="default" w:ascii="Times New Roman" w:hAnsi="Times New Roman" w:cs="Times New Roman"/>
          <w:b/>
          <w:sz w:val="24"/>
          <w:szCs w:val="24"/>
          <w:lang w:val="kk-KZ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hint="eastAsia"/>
        </w:rPr>
        <w:t xml:space="preserve">  </w:t>
      </w:r>
      <w:r>
        <w:rPr>
          <w:rFonts w:hint="default" w:ascii="Times New Roman" w:hAnsi="Times New Roman" w:cs="Times New Roman"/>
          <w:b/>
          <w:sz w:val="24"/>
          <w:szCs w:val="24"/>
          <w:lang w:val="kk-KZ" w:eastAsia="zh-CN"/>
        </w:rPr>
        <w:t>Жазу практикасы</w:t>
      </w:r>
    </w:p>
    <w:p>
      <w:pP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  <w:lang w:val="kk-KZ" w:eastAsia="zh-CN"/>
        </w:rPr>
        <w:t>体验汉语写作教程  初级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07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  <w:lang w:val="kk-KZ" w:eastAsia="zh-CN"/>
        </w:rPr>
        <w:t>体验汉语写作教程  中级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1"/>
        </w:numPr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3-4 семинар сабағы </w:t>
      </w:r>
    </w:p>
    <w:p>
      <w:pPr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 w:eastAsia="ar-SA"/>
        </w:rPr>
        <w:t>Тілдік ерекшелікке тән  бейнелеу тәсілі және Қысқартып аударыу әдісі</w:t>
      </w:r>
    </w:p>
    <w:p>
      <w:pP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numPr>
          <w:ilvl w:val="0"/>
          <w:numId w:val="2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kk-KZ" w:eastAsia="zh-CN"/>
        </w:rPr>
        <w:t>体验汉语写作教程  初级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07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2"/>
        </w:numPr>
        <w:ind w:left="560" w:leftChars="0" w:firstLine="0" w:firstLineChars="0"/>
        <w:rPr>
          <w:sz w:val="20"/>
          <w:szCs w:val="20"/>
        </w:rPr>
      </w:pPr>
      <w:r>
        <w:rPr>
          <w:rFonts w:hint="eastAsia"/>
          <w:sz w:val="20"/>
          <w:szCs w:val="20"/>
          <w:lang w:val="kk-KZ" w:eastAsia="zh-CN"/>
        </w:rPr>
        <w:t>体验汉语写作教程  中级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2"/>
        </w:numPr>
        <w:ind w:left="560" w:leftChars="0" w:firstLine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2"/>
        </w:numPr>
        <w:ind w:left="560" w:leftChars="0" w:firstLine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2"/>
        </w:numPr>
        <w:ind w:left="560" w:leftChars="0" w:firstLine="0" w:firstLineChars="0"/>
        <w:rPr>
          <w:sz w:val="20"/>
          <w:szCs w:val="20"/>
        </w:rPr>
      </w:pP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5-6 семинар сабағы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>
        <w:rPr>
          <w:rFonts w:ascii="Times New Roman" w:hAnsi="Times New Roman" w:cs="Times New Roman"/>
          <w:sz w:val="24"/>
          <w:szCs w:val="24"/>
          <w:lang w:val="kk-KZ"/>
        </w:rPr>
        <w:t>Аударма ерекшеліктері және Етістіктердің аударылуы талдау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rFonts w:hint="eastAsia"/>
          <w:sz w:val="20"/>
          <w:szCs w:val="20"/>
          <w:lang w:val="kk-KZ" w:eastAsia="zh-CN"/>
        </w:rPr>
        <w:t>体验汉语写作教程  初级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07</w:t>
      </w:r>
      <w:r>
        <w:rPr>
          <w:sz w:val="20"/>
          <w:szCs w:val="20"/>
          <w:lang w:val="kk-KZ"/>
        </w:rPr>
        <w:t>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rFonts w:hint="eastAsia"/>
          <w:sz w:val="20"/>
          <w:szCs w:val="20"/>
          <w:lang w:val="kk-KZ" w:eastAsia="zh-CN"/>
        </w:rPr>
        <w:t>体验汉语写作教程  中级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spacing w:after="0" w:line="240" w:lineRule="auto"/>
        <w:ind w:left="720"/>
        <w:rPr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7-8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 Әр саладағы атау терминдардың аударлыуы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rFonts w:hint="eastAsia"/>
          <w:sz w:val="20"/>
          <w:szCs w:val="20"/>
          <w:lang w:val="kk-KZ" w:eastAsia="zh-CN"/>
        </w:rPr>
        <w:t>体验汉语写作教程  初级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07</w:t>
      </w:r>
      <w:r>
        <w:rPr>
          <w:sz w:val="20"/>
          <w:szCs w:val="20"/>
          <w:lang w:val="kk-KZ"/>
        </w:rPr>
        <w:t>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rFonts w:hint="eastAsia"/>
          <w:sz w:val="20"/>
          <w:szCs w:val="20"/>
          <w:lang w:val="kk-KZ" w:eastAsia="zh-CN"/>
        </w:rPr>
        <w:t>体验汉语写作教程  中级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spacing w:after="0" w:line="240" w:lineRule="auto"/>
        <w:ind w:left="720"/>
        <w:rPr>
          <w:rFonts w:hint="eastAsia"/>
          <w:sz w:val="20"/>
          <w:szCs w:val="20"/>
        </w:rPr>
      </w:pPr>
    </w:p>
    <w:p>
      <w:pPr>
        <w:ind w:firstLine="843" w:firstLineChars="35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9-10 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 Есімдіктердің аударылуы және ұйымдардың атауларын аудару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rFonts w:hint="eastAsia"/>
          <w:sz w:val="20"/>
          <w:szCs w:val="20"/>
          <w:lang w:val="kk-KZ" w:eastAsia="zh-CN"/>
        </w:rPr>
        <w:t>体验汉语写作教程  初级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07</w:t>
      </w:r>
      <w:r>
        <w:rPr>
          <w:sz w:val="20"/>
          <w:szCs w:val="20"/>
          <w:lang w:val="kk-KZ"/>
        </w:rPr>
        <w:t>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rFonts w:hint="eastAsia"/>
          <w:sz w:val="20"/>
          <w:szCs w:val="20"/>
          <w:lang w:val="kk-KZ" w:eastAsia="zh-CN"/>
        </w:rPr>
        <w:t>体验汉语写作教程  中级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11-12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 Әдеби және көркем шығармалар атауларының аудармасы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rFonts w:hint="eastAsia"/>
          <w:sz w:val="20"/>
          <w:szCs w:val="20"/>
          <w:lang w:val="kk-KZ" w:eastAsia="zh-CN"/>
        </w:rPr>
        <w:t>体验汉语写作教程  初级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07</w:t>
      </w:r>
      <w:r>
        <w:rPr>
          <w:sz w:val="20"/>
          <w:szCs w:val="20"/>
          <w:lang w:val="kk-KZ"/>
        </w:rPr>
        <w:t>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rFonts w:hint="eastAsia"/>
          <w:sz w:val="20"/>
          <w:szCs w:val="20"/>
          <w:lang w:val="kk-KZ" w:eastAsia="zh-CN"/>
        </w:rPr>
        <w:t>体验汉语写作教程  中级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spacing w:after="0" w:line="240" w:lineRule="auto"/>
        <w:ind w:left="720"/>
        <w:rPr>
          <w:rFonts w:hint="eastAsia"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13-14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Идиомаларды аудару және Синонимдердің аударылуы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rFonts w:hint="eastAsia"/>
          <w:sz w:val="20"/>
          <w:szCs w:val="20"/>
          <w:lang w:val="kk-KZ" w:eastAsia="zh-CN"/>
        </w:rPr>
        <w:t>体验汉语写作教程  初级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07</w:t>
      </w:r>
      <w:r>
        <w:rPr>
          <w:sz w:val="20"/>
          <w:szCs w:val="20"/>
          <w:lang w:val="kk-KZ"/>
        </w:rPr>
        <w:t>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rFonts w:hint="eastAsia"/>
          <w:sz w:val="20"/>
          <w:szCs w:val="20"/>
          <w:lang w:val="kk-KZ" w:eastAsia="zh-CN"/>
        </w:rPr>
        <w:t>体验汉语写作教程  中级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Көп мағаналы сөздердің аударылу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rFonts w:hint="eastAsia"/>
          <w:sz w:val="20"/>
          <w:szCs w:val="20"/>
          <w:lang w:val="kk-KZ" w:eastAsia="zh-CN"/>
        </w:rPr>
        <w:t>体验汉语写作教程  初级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07</w:t>
      </w:r>
      <w:r>
        <w:rPr>
          <w:sz w:val="20"/>
          <w:szCs w:val="20"/>
          <w:lang w:val="kk-KZ"/>
        </w:rPr>
        <w:t>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rFonts w:hint="eastAsia"/>
          <w:sz w:val="20"/>
          <w:szCs w:val="20"/>
          <w:lang w:val="kk-KZ" w:eastAsia="zh-CN"/>
        </w:rPr>
        <w:t>体验汉语写作教程  中级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Haansoft Batang">
    <w:altName w:val="MS Mincho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6A00BF"/>
    <w:multiLevelType w:val="singleLevel"/>
    <w:tmpl w:val="9A6A00B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19C3841"/>
    <w:multiLevelType w:val="multilevel"/>
    <w:tmpl w:val="419C3841"/>
    <w:lvl w:ilvl="0" w:tentative="0">
      <w:start w:val="1"/>
      <w:numFmt w:val="decimal"/>
      <w:lvlText w:val="%1."/>
      <w:lvlJc w:val="left"/>
      <w:pPr>
        <w:ind w:left="9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FF5B9B"/>
    <w:rsid w:val="000251ED"/>
    <w:rsid w:val="00093451"/>
    <w:rsid w:val="000B07CC"/>
    <w:rsid w:val="000B3878"/>
    <w:rsid w:val="000D2114"/>
    <w:rsid w:val="00180525"/>
    <w:rsid w:val="001B5FC2"/>
    <w:rsid w:val="001C3E61"/>
    <w:rsid w:val="002116CD"/>
    <w:rsid w:val="0022077B"/>
    <w:rsid w:val="00326B14"/>
    <w:rsid w:val="003C383D"/>
    <w:rsid w:val="003D11BD"/>
    <w:rsid w:val="004019DF"/>
    <w:rsid w:val="004519F9"/>
    <w:rsid w:val="004829A3"/>
    <w:rsid w:val="00527447"/>
    <w:rsid w:val="005555E2"/>
    <w:rsid w:val="00596A26"/>
    <w:rsid w:val="00610C7D"/>
    <w:rsid w:val="00613A1C"/>
    <w:rsid w:val="00664C1A"/>
    <w:rsid w:val="00774625"/>
    <w:rsid w:val="007E79E9"/>
    <w:rsid w:val="0086096F"/>
    <w:rsid w:val="0088335A"/>
    <w:rsid w:val="008858BC"/>
    <w:rsid w:val="009002C3"/>
    <w:rsid w:val="00925679"/>
    <w:rsid w:val="00997579"/>
    <w:rsid w:val="00A010ED"/>
    <w:rsid w:val="00A930D6"/>
    <w:rsid w:val="00AC1175"/>
    <w:rsid w:val="00AE3758"/>
    <w:rsid w:val="00B15FC0"/>
    <w:rsid w:val="00BD2A4F"/>
    <w:rsid w:val="00BF4FC8"/>
    <w:rsid w:val="00C31F0F"/>
    <w:rsid w:val="00C53EAC"/>
    <w:rsid w:val="00CA35E1"/>
    <w:rsid w:val="00CA3A84"/>
    <w:rsid w:val="00D4294E"/>
    <w:rsid w:val="00D46DF0"/>
    <w:rsid w:val="00D500BB"/>
    <w:rsid w:val="00DB7A93"/>
    <w:rsid w:val="00DC69A9"/>
    <w:rsid w:val="00E256BF"/>
    <w:rsid w:val="00E364E6"/>
    <w:rsid w:val="00E51B81"/>
    <w:rsid w:val="00E84A0C"/>
    <w:rsid w:val="00EC2D46"/>
    <w:rsid w:val="00EC5669"/>
    <w:rsid w:val="00FF5B9B"/>
    <w:rsid w:val="00FF654F"/>
    <w:rsid w:val="26F14F20"/>
    <w:rsid w:val="585A5BD3"/>
    <w:rsid w:val="6425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440</Words>
  <Characters>2512</Characters>
  <Lines>20</Lines>
  <Paragraphs>5</Paragraphs>
  <TotalTime>1</TotalTime>
  <ScaleCrop>false</ScaleCrop>
  <LinksUpToDate>false</LinksUpToDate>
  <CharactersWithSpaces>2947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2020-10-31T21:06:00Z</dcterms:created>
  <dc:creator>Пользователь Windows</dc:creator>
  <cp:lastModifiedBy>Administrator</cp:lastModifiedBy>
  <dcterms:modified xsi:type="dcterms:W3CDTF">2021-10-04T02:22:36Z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2E73C313AA4748D79B9C72480FE2B9EA</vt:lpwstr>
  </property>
</Properties>
</file>